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792D7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.1 ORST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E65AA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</w:t>
            </w:r>
            <w:r w:rsidR="00792D7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um v</w:t>
            </w:r>
            <w:r w:rsidR="00E65AA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 Biblioteca </w:t>
            </w:r>
            <w:r w:rsidR="000C0CD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Nazionale </w:t>
            </w:r>
            <w:r w:rsidR="00E65AA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Marciana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E65AA5" w:rsidP="00792D7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Venezia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E65AA5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Itálie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792D77" w:rsidP="00E65AA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E65AA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E65AA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27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E65AA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19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23. 9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6.47</w:t>
            </w:r>
            <w:r w:rsidR="00E01DA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20.05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01DA3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Venezia S. Lucia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20.30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Ariel Silva</w:t>
            </w:r>
          </w:p>
          <w:p w:rsidR="00312ED0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0C0CDE">
              <w:rPr>
                <w:rFonts w:asciiTheme="minorHAnsi" w:hAnsiTheme="minorHAnsi" w:cstheme="minorHAnsi"/>
                <w:sz w:val="21"/>
                <w:szCs w:val="21"/>
              </w:rPr>
              <w:t xml:space="preserve"> a 25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A05A7D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16</w:t>
            </w:r>
            <w:r w:rsidR="000C0CDE">
              <w:rPr>
                <w:rFonts w:asciiTheme="minorHAnsi" w:hAnsiTheme="minorHAnsi" w:cstheme="minorHAnsi"/>
                <w:sz w:val="21"/>
                <w:szCs w:val="21"/>
              </w:rPr>
              <w:t>,30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hod. studium v Biblioteca </w:t>
            </w:r>
            <w:r w:rsidR="000C0CDE">
              <w:rPr>
                <w:rFonts w:asciiTheme="minorHAnsi" w:hAnsiTheme="minorHAnsi" w:cstheme="minorHAnsi"/>
                <w:sz w:val="21"/>
                <w:szCs w:val="21"/>
              </w:rPr>
              <w:t xml:space="preserve">Nazionale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Marciana</w:t>
            </w:r>
          </w:p>
          <w:p w:rsidR="00344A27" w:rsidRDefault="00344A27" w:rsidP="00344A2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9.</w:t>
            </w:r>
          </w:p>
          <w:p w:rsidR="000C0CDE" w:rsidRDefault="000C0CDE" w:rsidP="000C0CD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,30 hod. studium v Biblioteca Nazionale Marciana</w:t>
            </w:r>
          </w:p>
          <w:p w:rsidR="000C0CDE" w:rsidRDefault="000C0CD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15,30 – 17 hod. Museo Correr a historické sály knihovny</w:t>
            </w:r>
          </w:p>
          <w:p w:rsidR="00535D23" w:rsidRDefault="00E65AA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27. 9.</w:t>
            </w:r>
          </w:p>
          <w:p w:rsidR="006C76DA" w:rsidRPr="00181F80" w:rsidRDefault="000C0CD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9.55 hod.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Venezia S. Lucia</w:t>
            </w:r>
          </w:p>
          <w:p w:rsidR="004D2F58" w:rsidRPr="00181F80" w:rsidRDefault="000C0CDE" w:rsidP="000B5E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23.14 hod.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7265B5" w:rsidTr="0077036F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E65A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recentní literatury k dějinám benátského knihtisku v 70. a 80. letech 15. stol.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65AA5" w:rsidRDefault="002A2B64" w:rsidP="00E65AA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 rámci institucionálního výzkumu připravuji studii o počátku činnosti moravského prvotiskaře německého původu Konrada Stahela. Ten se před založením brněnské prvotiskárny</w:t>
            </w:r>
            <w:r w:rsidR="007265B5">
              <w:rPr>
                <w:rFonts w:asciiTheme="minorHAnsi" w:hAnsiTheme="minorHAnsi" w:cstheme="minorHAnsi"/>
                <w:sz w:val="21"/>
                <w:szCs w:val="21"/>
              </w:rPr>
              <w:t xml:space="preserve"> (1486)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zaučoval v Benátkách a </w:t>
            </w:r>
            <w:r w:rsidR="00CE0C33">
              <w:rPr>
                <w:rFonts w:asciiTheme="minorHAnsi" w:hAnsiTheme="minorHAnsi" w:cstheme="minorHAnsi"/>
                <w:sz w:val="21"/>
                <w:szCs w:val="21"/>
              </w:rPr>
              <w:t>pro potřeby olomoucké</w:t>
            </w:r>
            <w:r w:rsidR="000C0CDE">
              <w:rPr>
                <w:rFonts w:asciiTheme="minorHAnsi" w:hAnsiTheme="minorHAnsi" w:cstheme="minorHAnsi"/>
                <w:sz w:val="21"/>
                <w:szCs w:val="21"/>
              </w:rPr>
              <w:t xml:space="preserve"> a pražské</w:t>
            </w:r>
            <w:r w:rsidR="00CE0C33">
              <w:rPr>
                <w:rFonts w:asciiTheme="minorHAnsi" w:hAnsiTheme="minorHAnsi" w:cstheme="minorHAnsi"/>
                <w:sz w:val="21"/>
                <w:szCs w:val="21"/>
              </w:rPr>
              <w:t xml:space="preserve"> diecéze tu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1483/</w:t>
            </w:r>
            <w:r w:rsidR="00534086">
              <w:rPr>
                <w:rFonts w:asciiTheme="minorHAnsi" w:hAnsiTheme="minorHAnsi" w:cstheme="minorHAnsi"/>
                <w:sz w:val="21"/>
                <w:szCs w:val="21"/>
              </w:rPr>
              <w:t>1484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 xml:space="preserve"> tu</w:t>
            </w:r>
            <w:r w:rsidR="0053408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E0C33">
              <w:rPr>
                <w:rFonts w:asciiTheme="minorHAnsi" w:hAnsiTheme="minorHAnsi" w:cstheme="minorHAnsi"/>
                <w:sz w:val="21"/>
                <w:szCs w:val="21"/>
              </w:rPr>
              <w:t>vytiskl první vydání Olomouckého breviáře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 xml:space="preserve"> a Pražského diurnálu</w:t>
            </w:r>
            <w:r w:rsidR="00CE0C3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0C0CDE">
              <w:rPr>
                <w:rFonts w:asciiTheme="minorHAnsi" w:hAnsiTheme="minorHAnsi" w:cstheme="minorHAnsi"/>
                <w:sz w:val="21"/>
                <w:szCs w:val="21"/>
              </w:rPr>
              <w:t>Protože první část studie bude věnována Stahelově benátskému období, studoval jsem v Biblioteca Marciana recentní literaturu k dějinám raného benátského knihtisku, která není v domácích institucích dostupná. Z rozsáhlejších studií jsem si pořídil kopie.</w:t>
            </w:r>
          </w:p>
          <w:p w:rsidR="000C0CDE" w:rsidRDefault="000C0CDE" w:rsidP="00E65AA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A4B0A" w:rsidRDefault="000C0CDE" w:rsidP="000C0CD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>Biblioteca Nazionale Marciana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 sídlí v renesanční budově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na rohu nám. 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bookmarkStart w:id="0" w:name="_GoBack"/>
            <w:bookmarkEnd w:id="0"/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vatého Marka a přilehlé 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 xml:space="preserve">Piazzetta San Marco. 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Její hlavní fasáda tak lezí přímo proti Dóžecímu paláci.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Základem jejích rozsáhlých historických fondů je cca tisíc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knih, převážně kodexů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 s opisy řeckých a latinských děl starověku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, které Benátské republice daroval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roku 1468 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kardinál Bessarion.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Knihovna dnes uchová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>vá mj.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F5AB8"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13 tis.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rukopisů</w:t>
            </w:r>
            <w:r w:rsidR="003F5AB8"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a 3 tis.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3F5AB8" w:rsidRPr="000C0CDE">
              <w:rPr>
                <w:rFonts w:asciiTheme="minorHAnsi" w:hAnsiTheme="minorHAnsi" w:cstheme="minorHAnsi"/>
                <w:sz w:val="21"/>
                <w:szCs w:val="21"/>
              </w:rPr>
              <w:t>nkunábulí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. Honosná knihovní budova byla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postavena podle projektu slavného renesančního architekta Jacopa Sansovina v polovině 16.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>tol. (1537–c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ca 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>1560)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. Na její 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výzdobě se ve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druhé polovině 16.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tol.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odílela řada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předních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výtvarných umělců. Rozlehlý hlavní sál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>sloužil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jako studovna (portréty filozofů 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na jeho stěnách pocházejí </w:t>
            </w:r>
            <w:r w:rsidRPr="000C0CD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od Veroneseho, Tintoretta, Schiavoneho, Salviatiho  a Sustrise). Vedlejší vstupní halu zdobí Tizianova nástropní malba.</w:t>
            </w:r>
            <w:r w:rsidR="003F5AB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7A4B0A" w:rsidRDefault="007A4B0A" w:rsidP="000C0CD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0C0CDE" w:rsidRPr="000C0CDE" w:rsidRDefault="003F5AB8" w:rsidP="000C0CD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>e studovně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jsem se věnoval studiu jen moderních knihovědných tit</w:t>
            </w:r>
            <w:r w:rsidR="007A4B0A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lů. Ve čtvrtek odpoledne jsem navštívil 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>Museo Correr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>. Museum se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nachází v budovách Napoleonova křídla a Nových prokurácií na náměstí sv. Marka. 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>V rámci rozsáhlé expozice jsou vystaveny i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 předměty k dějinám knihtisku – 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 xml:space="preserve">kupř. 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>šest rozměrných štočků obří a neobyčejně detalní veduty Benátek z roku 1500 od Jacopa de Barbari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 xml:space="preserve"> či 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 xml:space="preserve">dvě 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 xml:space="preserve">reinstalované </w:t>
            </w:r>
            <w:r w:rsidR="000C0CDE" w:rsidRPr="000C0CDE">
              <w:rPr>
                <w:rFonts w:asciiTheme="minorHAnsi" w:hAnsiTheme="minorHAnsi" w:cstheme="minorHAnsi"/>
                <w:sz w:val="21"/>
                <w:szCs w:val="21"/>
              </w:rPr>
              <w:t>barokní palácové knihovny z Benátek.</w:t>
            </w:r>
            <w:r w:rsidR="00344A27">
              <w:rPr>
                <w:rFonts w:asciiTheme="minorHAnsi" w:hAnsiTheme="minorHAnsi" w:cstheme="minorHAnsi"/>
                <w:sz w:val="21"/>
                <w:szCs w:val="21"/>
              </w:rPr>
              <w:t xml:space="preserve"> V rámci prohlídky bylo možné shlédnout právě i historické sály sousední Marciany.</w:t>
            </w:r>
          </w:p>
          <w:p w:rsidR="000C0CDE" w:rsidRDefault="000C0CDE" w:rsidP="00E65AA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F553C4" w:rsidRPr="00181F80" w:rsidRDefault="00792D77" w:rsidP="007265B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E65AA5" w:rsidP="00E65A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E65AA5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E65A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77036F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E65AA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65AA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792D77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AB" w:rsidRDefault="001E66AB">
      <w:r>
        <w:separator/>
      </w:r>
    </w:p>
  </w:endnote>
  <w:endnote w:type="continuationSeparator" w:id="0">
    <w:p w:rsidR="001E66AB" w:rsidRDefault="001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AB" w:rsidRDefault="001E66AB">
      <w:r>
        <w:separator/>
      </w:r>
    </w:p>
  </w:footnote>
  <w:footnote w:type="continuationSeparator" w:id="0">
    <w:p w:rsidR="001E66AB" w:rsidRDefault="001E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65854"/>
    <w:rsid w:val="00073343"/>
    <w:rsid w:val="00077C12"/>
    <w:rsid w:val="00081212"/>
    <w:rsid w:val="00085FFE"/>
    <w:rsid w:val="000B3032"/>
    <w:rsid w:val="000B5EBE"/>
    <w:rsid w:val="000C0CDE"/>
    <w:rsid w:val="000C4D22"/>
    <w:rsid w:val="000E3D1B"/>
    <w:rsid w:val="00101956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B5EC7"/>
    <w:rsid w:val="001C2A9F"/>
    <w:rsid w:val="001C6564"/>
    <w:rsid w:val="001E66AB"/>
    <w:rsid w:val="001F2FBE"/>
    <w:rsid w:val="001F681E"/>
    <w:rsid w:val="002024D3"/>
    <w:rsid w:val="00223ADD"/>
    <w:rsid w:val="00243839"/>
    <w:rsid w:val="002460FD"/>
    <w:rsid w:val="00275699"/>
    <w:rsid w:val="00277E25"/>
    <w:rsid w:val="00281DF0"/>
    <w:rsid w:val="00295C92"/>
    <w:rsid w:val="002A2B64"/>
    <w:rsid w:val="002C305D"/>
    <w:rsid w:val="002F1A8F"/>
    <w:rsid w:val="002F23F4"/>
    <w:rsid w:val="00311872"/>
    <w:rsid w:val="00312ED0"/>
    <w:rsid w:val="0031749A"/>
    <w:rsid w:val="00331EED"/>
    <w:rsid w:val="00336ACA"/>
    <w:rsid w:val="00344323"/>
    <w:rsid w:val="00344A27"/>
    <w:rsid w:val="0035200C"/>
    <w:rsid w:val="00361054"/>
    <w:rsid w:val="00377A48"/>
    <w:rsid w:val="00380B13"/>
    <w:rsid w:val="003904D0"/>
    <w:rsid w:val="00396E45"/>
    <w:rsid w:val="003A11DA"/>
    <w:rsid w:val="003A403D"/>
    <w:rsid w:val="003A45B4"/>
    <w:rsid w:val="003B1BD9"/>
    <w:rsid w:val="003F5AB8"/>
    <w:rsid w:val="00410118"/>
    <w:rsid w:val="00416007"/>
    <w:rsid w:val="00425985"/>
    <w:rsid w:val="00426BAA"/>
    <w:rsid w:val="00426F87"/>
    <w:rsid w:val="0042706B"/>
    <w:rsid w:val="004354A3"/>
    <w:rsid w:val="004449DF"/>
    <w:rsid w:val="0044694F"/>
    <w:rsid w:val="00452EA2"/>
    <w:rsid w:val="00453E11"/>
    <w:rsid w:val="00455D4E"/>
    <w:rsid w:val="00466446"/>
    <w:rsid w:val="0048779D"/>
    <w:rsid w:val="004A0D9A"/>
    <w:rsid w:val="004B3362"/>
    <w:rsid w:val="004C046A"/>
    <w:rsid w:val="004C46CF"/>
    <w:rsid w:val="004D0DE4"/>
    <w:rsid w:val="004D2F58"/>
    <w:rsid w:val="0052438D"/>
    <w:rsid w:val="005338DB"/>
    <w:rsid w:val="00534086"/>
    <w:rsid w:val="00535D23"/>
    <w:rsid w:val="0054197E"/>
    <w:rsid w:val="00546674"/>
    <w:rsid w:val="00565E88"/>
    <w:rsid w:val="00570934"/>
    <w:rsid w:val="005872FB"/>
    <w:rsid w:val="00591A01"/>
    <w:rsid w:val="0059542D"/>
    <w:rsid w:val="00595F10"/>
    <w:rsid w:val="005A21CE"/>
    <w:rsid w:val="005C17DB"/>
    <w:rsid w:val="005C5C7F"/>
    <w:rsid w:val="005E1E28"/>
    <w:rsid w:val="006019DC"/>
    <w:rsid w:val="00616892"/>
    <w:rsid w:val="0062374D"/>
    <w:rsid w:val="0063054A"/>
    <w:rsid w:val="006319B3"/>
    <w:rsid w:val="0064596B"/>
    <w:rsid w:val="0068398F"/>
    <w:rsid w:val="00691CA2"/>
    <w:rsid w:val="00692E6E"/>
    <w:rsid w:val="00694270"/>
    <w:rsid w:val="006B0475"/>
    <w:rsid w:val="006C76DA"/>
    <w:rsid w:val="006D12D6"/>
    <w:rsid w:val="006D796F"/>
    <w:rsid w:val="006E55D1"/>
    <w:rsid w:val="006F19C8"/>
    <w:rsid w:val="006F4270"/>
    <w:rsid w:val="0070752D"/>
    <w:rsid w:val="00712DA9"/>
    <w:rsid w:val="007265B5"/>
    <w:rsid w:val="007577A0"/>
    <w:rsid w:val="0077036F"/>
    <w:rsid w:val="00776BD0"/>
    <w:rsid w:val="0078121B"/>
    <w:rsid w:val="00782A9C"/>
    <w:rsid w:val="007846B9"/>
    <w:rsid w:val="00787031"/>
    <w:rsid w:val="0079084C"/>
    <w:rsid w:val="00792D77"/>
    <w:rsid w:val="00795BD8"/>
    <w:rsid w:val="007A0E82"/>
    <w:rsid w:val="007A4B0A"/>
    <w:rsid w:val="007B13E4"/>
    <w:rsid w:val="007B30E9"/>
    <w:rsid w:val="007C0791"/>
    <w:rsid w:val="007C796D"/>
    <w:rsid w:val="007F5E21"/>
    <w:rsid w:val="00807492"/>
    <w:rsid w:val="00812782"/>
    <w:rsid w:val="00813BDE"/>
    <w:rsid w:val="00814567"/>
    <w:rsid w:val="00815BB1"/>
    <w:rsid w:val="00850342"/>
    <w:rsid w:val="00853F20"/>
    <w:rsid w:val="00864329"/>
    <w:rsid w:val="00870E23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12A4"/>
    <w:rsid w:val="00967314"/>
    <w:rsid w:val="00980F6D"/>
    <w:rsid w:val="009931D1"/>
    <w:rsid w:val="009A2DF3"/>
    <w:rsid w:val="009B3CF4"/>
    <w:rsid w:val="009B40D3"/>
    <w:rsid w:val="009C512E"/>
    <w:rsid w:val="009E4119"/>
    <w:rsid w:val="009F5EDA"/>
    <w:rsid w:val="00A05A7D"/>
    <w:rsid w:val="00A13210"/>
    <w:rsid w:val="00A22CBE"/>
    <w:rsid w:val="00A35AFE"/>
    <w:rsid w:val="00A62E09"/>
    <w:rsid w:val="00A77716"/>
    <w:rsid w:val="00AA7BF2"/>
    <w:rsid w:val="00AB2B79"/>
    <w:rsid w:val="00AB3197"/>
    <w:rsid w:val="00AB5B74"/>
    <w:rsid w:val="00AC2988"/>
    <w:rsid w:val="00AD003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850FA"/>
    <w:rsid w:val="00BB22E2"/>
    <w:rsid w:val="00BB46CE"/>
    <w:rsid w:val="00BC7CE8"/>
    <w:rsid w:val="00BD190D"/>
    <w:rsid w:val="00BD194F"/>
    <w:rsid w:val="00BF679C"/>
    <w:rsid w:val="00C06D59"/>
    <w:rsid w:val="00C10613"/>
    <w:rsid w:val="00C20231"/>
    <w:rsid w:val="00C428A2"/>
    <w:rsid w:val="00C531FF"/>
    <w:rsid w:val="00C537E2"/>
    <w:rsid w:val="00C571CF"/>
    <w:rsid w:val="00C6494C"/>
    <w:rsid w:val="00C909B3"/>
    <w:rsid w:val="00C954D1"/>
    <w:rsid w:val="00CA5218"/>
    <w:rsid w:val="00CA5FDF"/>
    <w:rsid w:val="00CB6050"/>
    <w:rsid w:val="00CD18DB"/>
    <w:rsid w:val="00CD43F9"/>
    <w:rsid w:val="00CE0C33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E0049"/>
    <w:rsid w:val="00DF228F"/>
    <w:rsid w:val="00DF28E6"/>
    <w:rsid w:val="00E01DA3"/>
    <w:rsid w:val="00E04A48"/>
    <w:rsid w:val="00E21964"/>
    <w:rsid w:val="00E41329"/>
    <w:rsid w:val="00E43BE5"/>
    <w:rsid w:val="00E539C5"/>
    <w:rsid w:val="00E62016"/>
    <w:rsid w:val="00E62962"/>
    <w:rsid w:val="00E631D5"/>
    <w:rsid w:val="00E65AA5"/>
    <w:rsid w:val="00E77548"/>
    <w:rsid w:val="00E86FBB"/>
    <w:rsid w:val="00E900F6"/>
    <w:rsid w:val="00E915B6"/>
    <w:rsid w:val="00E93CB4"/>
    <w:rsid w:val="00EA1D8E"/>
    <w:rsid w:val="00EC21B9"/>
    <w:rsid w:val="00EE768C"/>
    <w:rsid w:val="00F04173"/>
    <w:rsid w:val="00F0775A"/>
    <w:rsid w:val="00F148B8"/>
    <w:rsid w:val="00F1627E"/>
    <w:rsid w:val="00F465DD"/>
    <w:rsid w:val="00F553C4"/>
    <w:rsid w:val="00F64196"/>
    <w:rsid w:val="00F65F1F"/>
    <w:rsid w:val="00F66FC4"/>
    <w:rsid w:val="00F92ADD"/>
    <w:rsid w:val="00FB6C31"/>
    <w:rsid w:val="00FC0AA2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77A32"/>
  <w15:docId w15:val="{DE42B3E1-BAB7-4521-A810-696D10CD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A3672-C174-4BB5-B725-60B1E178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3286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2</cp:revision>
  <cp:lastPrinted>2016-09-26T05:55:00Z</cp:lastPrinted>
  <dcterms:created xsi:type="dcterms:W3CDTF">2019-10-25T09:15:00Z</dcterms:created>
  <dcterms:modified xsi:type="dcterms:W3CDTF">2019-10-25T09:15:00Z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